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900"/>
      </w:pPr>
    </w:p>
    <w:p>
      <w:pPr>
        <w:jc w:val="center"/>
      </w:pPr>
      <w:r>
        <w:rPr>
          <w:rFonts w:ascii="Calibri" w:hAnsi="Calibri"/>
          <w:b/>
          <w:color w:val="62625D"/>
          <w:sz w:val="18"/>
        </w:rPr>
        <w:t>CANADIAN ORGANIZATION PROCUREMENT TOOL</w:t>
      </w:r>
    </w:p>
    <w:p>
      <w:pPr>
        <w:pStyle w:val="Title"/>
        <w:jc w:val="center"/>
      </w:pPr>
      <w:r>
        <w:t>Editable Website RFP Template 2026</w:t>
      </w:r>
    </w:p>
    <w:p>
      <w:pPr>
        <w:pStyle w:val="Subtitle"/>
        <w:jc w:val="center"/>
      </w:pPr>
      <w:r>
        <w:t>A requirements-led template for strategy, design, content, development, migration and support</w:t>
      </w:r>
    </w:p>
    <w:tbl>
      <w:tblPr>
        <w:tblStyle w:val="TableGrid"/>
        <w:jc w:val="center"/>
        <w:tblLayout w:type="fixed"/>
        <w:tblLook w:firstColumn="1" w:firstRow="1" w:lastColumn="0" w:lastRow="0" w:noHBand="0" w:noVBand="1" w:val="04A0"/>
        <w:tblW w:w="9360" w:type="dxa"/>
        <w:tblInd w:w="120" w:type="dxa"/>
      </w:tblPr>
      <w:tblGrid>
        <w:gridCol w:w="9360"/>
      </w:tblGrid>
      <w:tr>
        <w:tc>
          <w:tcPr>
            <w:tcW w:type="dxa" w:w="9360"/>
            <w:shd w:fill="10182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FFFFFF"/>
                <w:sz w:val="18"/>
              </w:rPr>
              <w:t>DRAFT • CUSTOMIZE BEFORE ISSUE</w:t>
            </w:r>
          </w:p>
        </w:tc>
      </w:tr>
    </w:tbl>
    <w:p>
      <w:pPr>
        <w:jc w:val="center"/>
      </w:pPr>
      <w:r>
        <w:rPr>
          <w:rFonts w:ascii="Calibri" w:hAnsi="Calibri"/>
          <w:b/>
          <w:color w:val="101820"/>
          <w:sz w:val="22"/>
        </w:rPr>
        <w:t>Prepared by Nirvana Canada</w:t>
      </w:r>
    </w:p>
    <w:p>
      <w:r>
        <w:br w:type="page"/>
      </w:r>
    </w:p>
    <w:p>
      <w:pPr>
        <w:pStyle w:val="Heading1"/>
      </w:pPr>
      <w:r>
        <w:t>1. Procurement overview</w:t>
      </w:r>
    </w:p>
    <w:p>
      <w:pPr>
        <w:spacing w:before="100" w:after="40"/>
      </w:pPr>
      <w:r>
        <w:rPr>
          <w:rFonts w:ascii="Calibri" w:hAnsi="Calibri"/>
          <w:b/>
          <w:color w:val="101820"/>
          <w:sz w:val="20"/>
        </w:rPr>
        <w:t>Organization and department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before="100" w:after="40"/>
      </w:pPr>
      <w:r>
        <w:rPr>
          <w:rFonts w:ascii="Calibri" w:hAnsi="Calibri"/>
          <w:b/>
          <w:color w:val="101820"/>
          <w:sz w:val="20"/>
        </w:rPr>
        <w:t>RFP title and procurement number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before="100" w:after="40"/>
      </w:pPr>
      <w:r>
        <w:rPr>
          <w:rFonts w:ascii="Calibri" w:hAnsi="Calibri"/>
          <w:b/>
          <w:color w:val="101820"/>
          <w:sz w:val="20"/>
        </w:rPr>
        <w:t>Issue date • question deadline • closing date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before="100" w:after="40"/>
      </w:pPr>
      <w:r>
        <w:rPr>
          <w:rFonts w:ascii="Calibri" w:hAnsi="Calibri"/>
          <w:b/>
          <w:color w:val="101820"/>
          <w:sz w:val="20"/>
        </w:rPr>
        <w:t>Procurement contact and submission method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pStyle w:val="Heading1"/>
      </w:pPr>
      <w:r>
        <w:t>Purpose</w:t>
      </w:r>
    </w:p>
    <w:p>
      <w:pPr>
        <w:spacing w:before="100" w:after="40"/>
      </w:pPr>
      <w:r>
        <w:rPr>
          <w:rFonts w:ascii="Calibri" w:hAnsi="Calibri"/>
          <w:b/>
          <w:color w:val="101820"/>
          <w:sz w:val="20"/>
        </w:rPr>
        <w:t>In 150–250 words, explain why the organization is undertaking this project and what must change.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pStyle w:val="Heading1"/>
      </w:pPr>
      <w:r>
        <w:t>Procurement rules</w:t>
      </w:r>
    </w:p>
    <w:p>
      <w:pPr>
        <w:pStyle w:val="ListBullet"/>
      </w:pPr>
      <w:r>
        <w:t>State eligibility, conflict, confidentiality and communication rules.</w:t>
      </w:r>
    </w:p>
    <w:p>
      <w:pPr>
        <w:pStyle w:val="ListBullet"/>
      </w:pPr>
      <w:r>
        <w:t>State proposal validity period, currency, tax treatment and contract form.</w:t>
      </w:r>
    </w:p>
    <w:p>
      <w:pPr>
        <w:pStyle w:val="ListBullet"/>
      </w:pPr>
      <w:r>
        <w:t>Explain whether interviews, demonstrations, references or a best-and-final offer may be requested.</w:t>
      </w:r>
    </w:p>
    <w:p>
      <w:r>
        <w:br w:type="page"/>
      </w:r>
    </w:p>
    <w:p>
      <w:pPr>
        <w:pStyle w:val="Heading1"/>
      </w:pPr>
      <w:r>
        <w:t>2. Organization, users and outcomes</w:t>
      </w:r>
    </w:p>
    <w:p>
      <w:pPr>
        <w:spacing w:before="100" w:after="40"/>
      </w:pPr>
      <w:r>
        <w:rPr>
          <w:rFonts w:ascii="Calibri" w:hAnsi="Calibri"/>
          <w:b/>
          <w:color w:val="101820"/>
          <w:sz w:val="20"/>
        </w:rPr>
        <w:t>Organization context and public/service mandate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before="100" w:after="40"/>
      </w:pPr>
      <w:r>
        <w:rPr>
          <w:rFonts w:ascii="Calibri" w:hAnsi="Calibri"/>
          <w:b/>
          <w:color w:val="101820"/>
          <w:sz w:val="20"/>
        </w:rPr>
        <w:t>Primary audiences and priority user journeys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pStyle w:val="Heading1"/>
      </w:pPr>
      <w:r>
        <w:t>Outcome hierarchy</w:t>
      </w:r>
    </w:p>
    <w:tbl>
      <w:tblPr>
        <w:tblStyle w:val="TableGrid"/>
        <w:jc w:val="center"/>
        <w:tblLayout w:type="fixed"/>
        <w:tblLook w:firstColumn="1" w:firstRow="1" w:lastColumn="0" w:lastRow="0" w:noHBand="0" w:noVBand="1" w:val="04A0"/>
        <w:tblW w:w="9360" w:type="dxa"/>
        <w:tblInd w:w="120" w:type="dxa"/>
      </w:tblPr>
      <w:tblGrid>
        <w:gridCol w:w="3000"/>
        <w:gridCol w:w="2400"/>
        <w:gridCol w:w="2400"/>
        <w:gridCol w:w="1560"/>
      </w:tblGrid>
      <w:tr>
        <w:tc>
          <w:tcPr>
            <w:tcW w:type="dxa" w:w="3000"/>
            <w:shd w:fill="10182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FFFFFF"/>
                <w:sz w:val="18"/>
              </w:rPr>
              <w:t>Outcome</w:t>
            </w:r>
          </w:p>
        </w:tc>
        <w:tc>
          <w:tcPr>
            <w:tcW w:type="dxa" w:w="2400"/>
            <w:shd w:fill="10182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FFFFFF"/>
                <w:sz w:val="18"/>
              </w:rPr>
              <w:t>Baseline evidence</w:t>
            </w:r>
          </w:p>
        </w:tc>
        <w:tc>
          <w:tcPr>
            <w:tcW w:type="dxa" w:w="2400"/>
            <w:shd w:fill="10182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FFFFFF"/>
                <w:sz w:val="18"/>
              </w:rPr>
              <w:t>Target / decision</w:t>
            </w:r>
          </w:p>
        </w:tc>
        <w:tc>
          <w:tcPr>
            <w:tcW w:type="dxa" w:w="1560"/>
            <w:shd w:fill="10182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FFFFFF"/>
                <w:sz w:val="18"/>
              </w:rPr>
              <w:t>Owner</w:t>
            </w:r>
          </w:p>
        </w:tc>
      </w:tr>
      <w:tr>
        <w:tc>
          <w:tcPr>
            <w:tcW w:type="dxa" w:w="30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24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24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15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30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24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24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15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30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24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24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15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30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24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24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15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30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24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24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15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</w:tbl>
    <w:p>
      <w:pPr>
        <w:pStyle w:val="Heading1"/>
      </w:pPr>
      <w:r>
        <w:t>Success constraints</w:t>
      </w:r>
    </w:p>
    <w:p>
      <w:pPr>
        <w:pStyle w:val="ListBullet"/>
      </w:pPr>
      <w:r>
        <w:t>Mandatory launch or funding date</w:t>
      </w:r>
    </w:p>
    <w:p>
      <w:pPr>
        <w:pStyle w:val="ListBullet"/>
      </w:pPr>
      <w:r>
        <w:t>Accessibility and bilingual/multilingual obligations</w:t>
      </w:r>
    </w:p>
    <w:p>
      <w:pPr>
        <w:pStyle w:val="ListBullet"/>
      </w:pPr>
      <w:r>
        <w:t>Privacy, security, data residency or records requirements</w:t>
      </w:r>
    </w:p>
    <w:p>
      <w:pPr>
        <w:pStyle w:val="ListBullet"/>
      </w:pPr>
      <w:r>
        <w:t>Budget approval and internal resource constraints</w:t>
      </w:r>
    </w:p>
    <w:p>
      <w:r>
        <w:br w:type="page"/>
      </w:r>
    </w:p>
    <w:p>
      <w:pPr>
        <w:pStyle w:val="Heading1"/>
      </w:pPr>
      <w:r>
        <w:t>3. Scope and requirements</w:t>
      </w:r>
    </w:p>
    <w:p>
      <w:r>
        <w:t>Classify each requirement as Mandatory, Rated or Future. Require vendors to identify whether it is native, configured, third-party or custom.</w:t>
      </w:r>
    </w:p>
    <w:tbl>
      <w:tblPr>
        <w:tblStyle w:val="TableGrid"/>
        <w:jc w:val="center"/>
        <w:tblLayout w:type="fixed"/>
        <w:tblLook w:firstColumn="1" w:firstRow="1" w:lastColumn="0" w:lastRow="0" w:noHBand="0" w:noVBand="1" w:val="04A0"/>
        <w:tblW w:w="9360" w:type="dxa"/>
        <w:tblInd w:w="120" w:type="dxa"/>
      </w:tblPr>
      <w:tblGrid>
        <w:gridCol w:w="2600"/>
        <w:gridCol w:w="1300"/>
        <w:gridCol w:w="2860"/>
        <w:gridCol w:w="2600"/>
      </w:tblGrid>
      <w:tr>
        <w:tc>
          <w:tcPr>
            <w:tcW w:type="dxa" w:w="2600"/>
            <w:shd w:fill="10182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FFFFFF"/>
                <w:sz w:val="18"/>
              </w:rPr>
              <w:t>Requirement area</w:t>
            </w:r>
          </w:p>
        </w:tc>
        <w:tc>
          <w:tcPr>
            <w:tcW w:type="dxa" w:w="1300"/>
            <w:shd w:fill="10182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FFFFFF"/>
                <w:sz w:val="18"/>
              </w:rPr>
              <w:t>Classification</w:t>
            </w:r>
          </w:p>
        </w:tc>
        <w:tc>
          <w:tcPr>
            <w:tcW w:type="dxa" w:w="2860"/>
            <w:shd w:fill="10182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FFFFFF"/>
                <w:sz w:val="18"/>
              </w:rPr>
              <w:t>Vendor response</w:t>
            </w:r>
          </w:p>
        </w:tc>
        <w:tc>
          <w:tcPr>
            <w:tcW w:type="dxa" w:w="2600"/>
            <w:shd w:fill="10182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FFFFFF"/>
                <w:sz w:val="18"/>
              </w:rPr>
              <w:t>Acceptance evidence</w:t>
            </w:r>
          </w:p>
        </w:tc>
      </w:tr>
      <w:tr>
        <w:tc>
          <w:tcPr>
            <w:tcW w:type="dxa" w:w="26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Research and strategy</w:t>
            </w:r>
          </w:p>
        </w:tc>
        <w:tc>
          <w:tcPr>
            <w:tcW w:type="dxa" w:w="13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M / R / F</w:t>
            </w:r>
          </w:p>
        </w:tc>
        <w:tc>
          <w:tcPr>
            <w:tcW w:type="dxa" w:w="28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26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26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Information architecture and UX</w:t>
            </w:r>
          </w:p>
        </w:tc>
        <w:tc>
          <w:tcPr>
            <w:tcW w:type="dxa" w:w="13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M / R / F</w:t>
            </w:r>
          </w:p>
        </w:tc>
        <w:tc>
          <w:tcPr>
            <w:tcW w:type="dxa" w:w="28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26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26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Visual design and design system</w:t>
            </w:r>
          </w:p>
        </w:tc>
        <w:tc>
          <w:tcPr>
            <w:tcW w:type="dxa" w:w="13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M / R / F</w:t>
            </w:r>
          </w:p>
        </w:tc>
        <w:tc>
          <w:tcPr>
            <w:tcW w:type="dxa" w:w="28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26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26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Content strategy and production</w:t>
            </w:r>
          </w:p>
        </w:tc>
        <w:tc>
          <w:tcPr>
            <w:tcW w:type="dxa" w:w="13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M / R / F</w:t>
            </w:r>
          </w:p>
        </w:tc>
        <w:tc>
          <w:tcPr>
            <w:tcW w:type="dxa" w:w="28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26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26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CMS and editorial workflow</w:t>
            </w:r>
          </w:p>
        </w:tc>
        <w:tc>
          <w:tcPr>
            <w:tcW w:type="dxa" w:w="13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M / R / F</w:t>
            </w:r>
          </w:p>
        </w:tc>
        <w:tc>
          <w:tcPr>
            <w:tcW w:type="dxa" w:w="28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26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26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Search and filtering</w:t>
            </w:r>
          </w:p>
        </w:tc>
        <w:tc>
          <w:tcPr>
            <w:tcW w:type="dxa" w:w="13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M / R / F</w:t>
            </w:r>
          </w:p>
        </w:tc>
        <w:tc>
          <w:tcPr>
            <w:tcW w:type="dxa" w:w="28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26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26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Integrations and data</w:t>
            </w:r>
          </w:p>
        </w:tc>
        <w:tc>
          <w:tcPr>
            <w:tcW w:type="dxa" w:w="13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M / R / F</w:t>
            </w:r>
          </w:p>
        </w:tc>
        <w:tc>
          <w:tcPr>
            <w:tcW w:type="dxa" w:w="28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26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26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Accessibility</w:t>
            </w:r>
          </w:p>
        </w:tc>
        <w:tc>
          <w:tcPr>
            <w:tcW w:type="dxa" w:w="13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M / R / F</w:t>
            </w:r>
          </w:p>
        </w:tc>
        <w:tc>
          <w:tcPr>
            <w:tcW w:type="dxa" w:w="28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26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26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Privacy and security</w:t>
            </w:r>
          </w:p>
        </w:tc>
        <w:tc>
          <w:tcPr>
            <w:tcW w:type="dxa" w:w="13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M / R / F</w:t>
            </w:r>
          </w:p>
        </w:tc>
        <w:tc>
          <w:tcPr>
            <w:tcW w:type="dxa" w:w="28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26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26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SEO and migration</w:t>
            </w:r>
          </w:p>
        </w:tc>
        <w:tc>
          <w:tcPr>
            <w:tcW w:type="dxa" w:w="13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M / R / F</w:t>
            </w:r>
          </w:p>
        </w:tc>
        <w:tc>
          <w:tcPr>
            <w:tcW w:type="dxa" w:w="28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26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26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Analytics and consent</w:t>
            </w:r>
          </w:p>
        </w:tc>
        <w:tc>
          <w:tcPr>
            <w:tcW w:type="dxa" w:w="13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M / R / F</w:t>
            </w:r>
          </w:p>
        </w:tc>
        <w:tc>
          <w:tcPr>
            <w:tcW w:type="dxa" w:w="28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26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26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Hosting, support and training</w:t>
            </w:r>
          </w:p>
        </w:tc>
        <w:tc>
          <w:tcPr>
            <w:tcW w:type="dxa" w:w="13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M / R / F</w:t>
            </w:r>
          </w:p>
        </w:tc>
        <w:tc>
          <w:tcPr>
            <w:tcW w:type="dxa" w:w="28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26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</w:tbl>
    <w:p>
      <w:r>
        <w:br w:type="page"/>
      </w:r>
    </w:p>
    <w:p>
      <w:pPr>
        <w:pStyle w:val="Heading1"/>
      </w:pPr>
      <w:r>
        <w:t>4. Content, migration and technical environment</w:t>
      </w:r>
    </w:p>
    <w:p>
      <w:pPr>
        <w:spacing w:before="100" w:after="40"/>
      </w:pPr>
      <w:r>
        <w:rPr>
          <w:rFonts w:ascii="Calibri" w:hAnsi="Calibri"/>
          <w:b/>
          <w:color w:val="101820"/>
          <w:sz w:val="20"/>
        </w:rPr>
        <w:t>Current website, CMS, hosting and environments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before="100" w:after="40"/>
      </w:pPr>
      <w:r>
        <w:rPr>
          <w:rFonts w:ascii="Calibri" w:hAnsi="Calibri"/>
          <w:b/>
          <w:color w:val="101820"/>
          <w:sz w:val="20"/>
        </w:rPr>
        <w:t>Content inventory, languages, formats and ownership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before="100" w:after="40"/>
      </w:pPr>
      <w:r>
        <w:rPr>
          <w:rFonts w:ascii="Calibri" w:hAnsi="Calibri"/>
          <w:b/>
          <w:color w:val="101820"/>
          <w:sz w:val="20"/>
        </w:rPr>
        <w:t>Systems and integrations (CRM, ERP, identity, search, payments, APIs)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before="100" w:after="40"/>
      </w:pPr>
      <w:r>
        <w:rPr>
          <w:rFonts w:ascii="Calibri" w:hAnsi="Calibri"/>
          <w:b/>
          <w:color w:val="101820"/>
          <w:sz w:val="20"/>
        </w:rPr>
        <w:t>Migration rules: keep, improve, consolidate, retire and redirect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before="100" w:after="40"/>
      </w:pPr>
      <w:r>
        <w:rPr>
          <w:rFonts w:ascii="Calibri" w:hAnsi="Calibri"/>
          <w:b/>
          <w:color w:val="101820"/>
          <w:sz w:val="20"/>
        </w:rPr>
        <w:t>Non-functional requirements: browsers, devices, performance, availability and recovery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r>
        <w:br w:type="page"/>
      </w:r>
    </w:p>
    <w:p>
      <w:pPr>
        <w:pStyle w:val="Heading1"/>
      </w:pPr>
      <w:r>
        <w:t>5. Delivery, governance and acceptance</w:t>
      </w:r>
    </w:p>
    <w:p>
      <w:pPr>
        <w:pStyle w:val="Heading1"/>
      </w:pPr>
      <w:r>
        <w:t>Required vendor response</w:t>
      </w:r>
    </w:p>
    <w:p>
      <w:pPr>
        <w:pStyle w:val="ListBullet"/>
      </w:pPr>
      <w:r>
        <w:t>Understanding of the organization, users and outcomes</w:t>
      </w:r>
    </w:p>
    <w:p>
      <w:pPr>
        <w:pStyle w:val="ListBullet"/>
      </w:pPr>
      <w:r>
        <w:t>Recommended approach, assumptions, dependencies and exclusions</w:t>
      </w:r>
    </w:p>
    <w:p>
      <w:pPr>
        <w:pStyle w:val="ListBullet"/>
      </w:pPr>
      <w:r>
        <w:t>Phased work plan, milestones and client responsibilities</w:t>
      </w:r>
    </w:p>
    <w:p>
      <w:pPr>
        <w:pStyle w:val="ListBullet"/>
      </w:pPr>
      <w:r>
        <w:t>Named team, roles, allocation and subcontractors</w:t>
      </w:r>
    </w:p>
    <w:p>
      <w:pPr>
        <w:pStyle w:val="ListBullet"/>
      </w:pPr>
      <w:r>
        <w:t>Quality assurance, accessibility, security and migration methods</w:t>
      </w:r>
    </w:p>
    <w:p>
      <w:pPr>
        <w:pStyle w:val="ListBullet"/>
      </w:pPr>
      <w:r>
        <w:t>Deliverables and testable acceptance criteria</w:t>
      </w:r>
    </w:p>
    <w:p>
      <w:pPr>
        <w:pStyle w:val="ListBullet"/>
      </w:pPr>
      <w:r>
        <w:t>Risk register and change-control approach</w:t>
      </w:r>
    </w:p>
    <w:p>
      <w:pPr>
        <w:pStyle w:val="ListBullet"/>
      </w:pPr>
      <w:r>
        <w:t>Training, documentation, warranty, support and transition</w:t>
      </w:r>
    </w:p>
    <w:p>
      <w:pPr>
        <w:pStyle w:val="Heading1"/>
      </w:pPr>
      <w:r>
        <w:t>Decision rights</w:t>
      </w:r>
    </w:p>
    <w:tbl>
      <w:tblPr>
        <w:tblStyle w:val="TableGrid"/>
        <w:jc w:val="center"/>
        <w:tblLayout w:type="fixed"/>
        <w:tblLook w:firstColumn="1" w:firstRow="1" w:lastColumn="0" w:lastRow="0" w:noHBand="0" w:noVBand="1" w:val="04A0"/>
        <w:tblW w:w="9360" w:type="dxa"/>
        <w:tblInd w:w="120" w:type="dxa"/>
      </w:tblPr>
      <w:tblGrid>
        <w:gridCol w:w="3200"/>
        <w:gridCol w:w="2800"/>
        <w:gridCol w:w="3360"/>
      </w:tblGrid>
      <w:tr>
        <w:tc>
          <w:tcPr>
            <w:tcW w:type="dxa" w:w="3200"/>
            <w:shd w:fill="10182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FFFFFF"/>
                <w:sz w:val="18"/>
              </w:rPr>
              <w:t>Decision</w:t>
            </w:r>
          </w:p>
        </w:tc>
        <w:tc>
          <w:tcPr>
            <w:tcW w:type="dxa" w:w="2800"/>
            <w:shd w:fill="10182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FFFFFF"/>
                <w:sz w:val="18"/>
              </w:rPr>
              <w:t>Client owner</w:t>
            </w:r>
          </w:p>
        </w:tc>
        <w:tc>
          <w:tcPr>
            <w:tcW w:type="dxa" w:w="3360"/>
            <w:shd w:fill="10182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FFFFFF"/>
                <w:sz w:val="18"/>
              </w:rPr>
              <w:t>Vendor owner / evidence</w:t>
            </w:r>
          </w:p>
        </w:tc>
      </w:tr>
      <w:tr>
        <w:tc>
          <w:tcPr>
            <w:tcW w:type="dxa" w:w="32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Scope and priorities</w:t>
            </w:r>
          </w:p>
        </w:tc>
        <w:tc>
          <w:tcPr>
            <w:tcW w:type="dxa" w:w="28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33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32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Content approval</w:t>
            </w:r>
          </w:p>
        </w:tc>
        <w:tc>
          <w:tcPr>
            <w:tcW w:type="dxa" w:w="28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33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32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Design acceptance</w:t>
            </w:r>
          </w:p>
        </w:tc>
        <w:tc>
          <w:tcPr>
            <w:tcW w:type="dxa" w:w="28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33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32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Technical acceptance</w:t>
            </w:r>
          </w:p>
        </w:tc>
        <w:tc>
          <w:tcPr>
            <w:tcW w:type="dxa" w:w="28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33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32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Launch authorization</w:t>
            </w:r>
          </w:p>
        </w:tc>
        <w:tc>
          <w:tcPr>
            <w:tcW w:type="dxa" w:w="28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33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32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Post-launch warranty exit</w:t>
            </w:r>
          </w:p>
        </w:tc>
        <w:tc>
          <w:tcPr>
            <w:tcW w:type="dxa" w:w="28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33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</w:tbl>
    <w:p>
      <w:r>
        <w:br w:type="page"/>
      </w:r>
    </w:p>
    <w:p>
      <w:pPr>
        <w:pStyle w:val="Heading1"/>
      </w:pPr>
      <w:r>
        <w:t>6. Pricing schedule</w:t>
      </w:r>
    </w:p>
    <w:p>
      <w:r>
        <w:t>Require one completed schedule from every proponent. Prices should identify taxes and currency and separate optional work.</w:t>
      </w:r>
    </w:p>
    <w:tbl>
      <w:tblPr>
        <w:tblStyle w:val="TableGrid"/>
        <w:jc w:val="center"/>
        <w:tblLayout w:type="fixed"/>
        <w:tblLook w:firstColumn="1" w:firstRow="1" w:lastColumn="0" w:lastRow="0" w:noHBand="0" w:noVBand="1" w:val="04A0"/>
        <w:tblW w:w="9360" w:type="dxa"/>
        <w:tblInd w:w="120" w:type="dxa"/>
      </w:tblPr>
      <w:tblGrid>
        <w:gridCol w:w="2800"/>
        <w:gridCol w:w="1700"/>
        <w:gridCol w:w="3160"/>
        <w:gridCol w:w="1700"/>
      </w:tblGrid>
      <w:tr>
        <w:tc>
          <w:tcPr>
            <w:tcW w:type="dxa" w:w="2800"/>
            <w:shd w:fill="10182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FFFFFF"/>
                <w:sz w:val="18"/>
              </w:rPr>
              <w:t>Cost item</w:t>
            </w:r>
          </w:p>
        </w:tc>
        <w:tc>
          <w:tcPr>
            <w:tcW w:type="dxa" w:w="1700"/>
            <w:shd w:fill="10182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FFFFFF"/>
                <w:sz w:val="18"/>
              </w:rPr>
              <w:t>Fixed / estimate</w:t>
            </w:r>
          </w:p>
        </w:tc>
        <w:tc>
          <w:tcPr>
            <w:tcW w:type="dxa" w:w="3160"/>
            <w:shd w:fill="10182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FFFFFF"/>
                <w:sz w:val="18"/>
              </w:rPr>
              <w:t>Assumptions</w:t>
            </w:r>
          </w:p>
        </w:tc>
        <w:tc>
          <w:tcPr>
            <w:tcW w:type="dxa" w:w="1700"/>
            <w:shd w:fill="10182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FFFFFF"/>
                <w:sz w:val="18"/>
              </w:rPr>
              <w:t>Price (CAD)</w:t>
            </w:r>
          </w:p>
        </w:tc>
      </w:tr>
      <w:tr>
        <w:tc>
          <w:tcPr>
            <w:tcW w:type="dxa" w:w="28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Discovery and strategy</w:t>
            </w:r>
          </w:p>
        </w:tc>
        <w:tc>
          <w:tcPr>
            <w:tcW w:type="dxa" w:w="17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31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17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$</w:t>
            </w:r>
          </w:p>
        </w:tc>
      </w:tr>
      <w:tr>
        <w:tc>
          <w:tcPr>
            <w:tcW w:type="dxa" w:w="28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UX and design</w:t>
            </w:r>
          </w:p>
        </w:tc>
        <w:tc>
          <w:tcPr>
            <w:tcW w:type="dxa" w:w="17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31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17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$</w:t>
            </w:r>
          </w:p>
        </w:tc>
      </w:tr>
      <w:tr>
        <w:tc>
          <w:tcPr>
            <w:tcW w:type="dxa" w:w="28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Content and migration</w:t>
            </w:r>
          </w:p>
        </w:tc>
        <w:tc>
          <w:tcPr>
            <w:tcW w:type="dxa" w:w="17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31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17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$</w:t>
            </w:r>
          </w:p>
        </w:tc>
      </w:tr>
      <w:tr>
        <w:tc>
          <w:tcPr>
            <w:tcW w:type="dxa" w:w="28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Development and integrations</w:t>
            </w:r>
          </w:p>
        </w:tc>
        <w:tc>
          <w:tcPr>
            <w:tcW w:type="dxa" w:w="17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31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17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$</w:t>
            </w:r>
          </w:p>
        </w:tc>
      </w:tr>
      <w:tr>
        <w:tc>
          <w:tcPr>
            <w:tcW w:type="dxa" w:w="28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QA, accessibility and security</w:t>
            </w:r>
          </w:p>
        </w:tc>
        <w:tc>
          <w:tcPr>
            <w:tcW w:type="dxa" w:w="17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31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17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$</w:t>
            </w:r>
          </w:p>
        </w:tc>
      </w:tr>
      <w:tr>
        <w:tc>
          <w:tcPr>
            <w:tcW w:type="dxa" w:w="28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Launch and warranty</w:t>
            </w:r>
          </w:p>
        </w:tc>
        <w:tc>
          <w:tcPr>
            <w:tcW w:type="dxa" w:w="17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31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17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$</w:t>
            </w:r>
          </w:p>
        </w:tc>
      </w:tr>
      <w:tr>
        <w:tc>
          <w:tcPr>
            <w:tcW w:type="dxa" w:w="28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Hosting and licences (annual)</w:t>
            </w:r>
          </w:p>
        </w:tc>
        <w:tc>
          <w:tcPr>
            <w:tcW w:type="dxa" w:w="17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31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17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$</w:t>
            </w:r>
          </w:p>
        </w:tc>
      </w:tr>
      <w:tr>
        <w:tc>
          <w:tcPr>
            <w:tcW w:type="dxa" w:w="28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Support / optimization (monthly)</w:t>
            </w:r>
          </w:p>
        </w:tc>
        <w:tc>
          <w:tcPr>
            <w:tcW w:type="dxa" w:w="17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31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17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$</w:t>
            </w:r>
          </w:p>
        </w:tc>
      </w:tr>
      <w:tr>
        <w:tc>
          <w:tcPr>
            <w:tcW w:type="dxa" w:w="28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Optional services</w:t>
            </w:r>
          </w:p>
        </w:tc>
        <w:tc>
          <w:tcPr>
            <w:tcW w:type="dxa" w:w="17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31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17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$</w:t>
            </w:r>
          </w:p>
        </w:tc>
      </w:tr>
      <w:tr>
        <w:tc>
          <w:tcPr>
            <w:tcW w:type="dxa" w:w="28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Contingency / change allowance</w:t>
            </w:r>
          </w:p>
        </w:tc>
        <w:tc>
          <w:tcPr>
            <w:tcW w:type="dxa" w:w="17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31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  <w:tc>
          <w:tcPr>
            <w:tcW w:type="dxa" w:w="17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$</w:t>
            </w:r>
          </w:p>
        </w:tc>
      </w:tr>
    </w:tbl>
    <w:p>
      <w:pPr>
        <w:spacing w:before="100" w:after="40"/>
      </w:pPr>
      <w:r>
        <w:rPr>
          <w:rFonts w:ascii="Calibri" w:hAnsi="Calibri"/>
          <w:b/>
          <w:color w:val="101820"/>
          <w:sz w:val="20"/>
        </w:rPr>
        <w:t>Total evaluated price and three-year ownership estimate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pPr>
        <w:spacing w:after="60"/>
      </w:pPr>
      <w:r>
        <w:rPr>
          <w:rFonts w:ascii="Calibri" w:hAnsi="Calibri"/>
          <w:b w:val="0"/>
          <w:color w:val="9A9A96"/>
          <w:sz w:val="18"/>
        </w:rPr>
        <w:t>________________________________________________________________________________</w:t>
      </w:r>
    </w:p>
    <w:p>
      <w:r>
        <w:br w:type="page"/>
      </w:r>
    </w:p>
    <w:p>
      <w:pPr>
        <w:pStyle w:val="Heading1"/>
      </w:pPr>
      <w:r>
        <w:t>7. Evaluation scorecard</w:t>
      </w:r>
    </w:p>
    <w:tbl>
      <w:tblPr>
        <w:tblStyle w:val="TableGrid"/>
        <w:jc w:val="center"/>
        <w:tblLayout w:type="fixed"/>
        <w:tblLook w:firstColumn="1" w:firstRow="1" w:lastColumn="0" w:lastRow="0" w:noHBand="0" w:noVBand="1" w:val="04A0"/>
        <w:tblW w:w="9360" w:type="dxa"/>
        <w:tblInd w:w="120" w:type="dxa"/>
      </w:tblPr>
      <w:tblGrid>
        <w:gridCol w:w="3100"/>
        <w:gridCol w:w="1100"/>
        <w:gridCol w:w="1100"/>
        <w:gridCol w:w="4060"/>
      </w:tblGrid>
      <w:tr>
        <w:tc>
          <w:tcPr>
            <w:tcW w:type="dxa" w:w="3100"/>
            <w:shd w:fill="10182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FFFFFF"/>
                <w:sz w:val="18"/>
              </w:rPr>
              <w:t>Criterion</w:t>
            </w:r>
          </w:p>
        </w:tc>
        <w:tc>
          <w:tcPr>
            <w:tcW w:type="dxa" w:w="1100"/>
            <w:shd w:fill="10182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FFFFFF"/>
                <w:sz w:val="18"/>
              </w:rPr>
              <w:t>Weight</w:t>
            </w:r>
          </w:p>
        </w:tc>
        <w:tc>
          <w:tcPr>
            <w:tcW w:type="dxa" w:w="1100"/>
            <w:shd w:fill="10182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FFFFFF"/>
                <w:sz w:val="18"/>
              </w:rPr>
              <w:t>Score</w:t>
            </w:r>
          </w:p>
        </w:tc>
        <w:tc>
          <w:tcPr>
            <w:tcW w:type="dxa" w:w="4060"/>
            <w:shd w:fill="10182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FFFFFF"/>
                <w:sz w:val="18"/>
              </w:rPr>
              <w:t>Evidence / evaluator notes</w:t>
            </w:r>
          </w:p>
        </w:tc>
      </w:tr>
      <w:tr>
        <w:tc>
          <w:tcPr>
            <w:tcW w:type="dxa" w:w="31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Understanding and strategy</w:t>
            </w:r>
          </w:p>
        </w:tc>
        <w:tc>
          <w:tcPr>
            <w:tcW w:type="dxa" w:w="11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15%</w:t>
            </w:r>
          </w:p>
        </w:tc>
        <w:tc>
          <w:tcPr>
            <w:tcW w:type="dxa" w:w="11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__/5</w:t>
            </w:r>
          </w:p>
        </w:tc>
        <w:tc>
          <w:tcPr>
            <w:tcW w:type="dxa" w:w="40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31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User, content and accessibility approach</w:t>
            </w:r>
          </w:p>
        </w:tc>
        <w:tc>
          <w:tcPr>
            <w:tcW w:type="dxa" w:w="11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15%</w:t>
            </w:r>
          </w:p>
        </w:tc>
        <w:tc>
          <w:tcPr>
            <w:tcW w:type="dxa" w:w="11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__/5</w:t>
            </w:r>
          </w:p>
        </w:tc>
        <w:tc>
          <w:tcPr>
            <w:tcW w:type="dxa" w:w="40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31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Technical and migration approach</w:t>
            </w:r>
          </w:p>
        </w:tc>
        <w:tc>
          <w:tcPr>
            <w:tcW w:type="dxa" w:w="11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15%</w:t>
            </w:r>
          </w:p>
        </w:tc>
        <w:tc>
          <w:tcPr>
            <w:tcW w:type="dxa" w:w="11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__/5</w:t>
            </w:r>
          </w:p>
        </w:tc>
        <w:tc>
          <w:tcPr>
            <w:tcW w:type="dxa" w:w="40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31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Team and relevant evidence</w:t>
            </w:r>
          </w:p>
        </w:tc>
        <w:tc>
          <w:tcPr>
            <w:tcW w:type="dxa" w:w="11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15%</w:t>
            </w:r>
          </w:p>
        </w:tc>
        <w:tc>
          <w:tcPr>
            <w:tcW w:type="dxa" w:w="11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__/5</w:t>
            </w:r>
          </w:p>
        </w:tc>
        <w:tc>
          <w:tcPr>
            <w:tcW w:type="dxa" w:w="40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31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Delivery, governance and risk</w:t>
            </w:r>
          </w:p>
        </w:tc>
        <w:tc>
          <w:tcPr>
            <w:tcW w:type="dxa" w:w="11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10%</w:t>
            </w:r>
          </w:p>
        </w:tc>
        <w:tc>
          <w:tcPr>
            <w:tcW w:type="dxa" w:w="11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__/5</w:t>
            </w:r>
          </w:p>
        </w:tc>
        <w:tc>
          <w:tcPr>
            <w:tcW w:type="dxa" w:w="40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31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Measurement and lifecycle support</w:t>
            </w:r>
          </w:p>
        </w:tc>
        <w:tc>
          <w:tcPr>
            <w:tcW w:type="dxa" w:w="11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10%</w:t>
            </w:r>
          </w:p>
        </w:tc>
        <w:tc>
          <w:tcPr>
            <w:tcW w:type="dxa" w:w="11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__/5</w:t>
            </w:r>
          </w:p>
        </w:tc>
        <w:tc>
          <w:tcPr>
            <w:tcW w:type="dxa" w:w="40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  <w:tr>
        <w:tc>
          <w:tcPr>
            <w:tcW w:type="dxa" w:w="31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/>
                <w:color w:val="101820"/>
                <w:sz w:val="18"/>
              </w:rPr>
              <w:t>Commercial value and total cost</w:t>
            </w:r>
          </w:p>
        </w:tc>
        <w:tc>
          <w:tcPr>
            <w:tcW w:type="dxa" w:w="11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20%</w:t>
            </w:r>
          </w:p>
        </w:tc>
        <w:tc>
          <w:tcPr>
            <w:tcW w:type="dxa" w:w="110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t>__/5</w:t>
            </w:r>
          </w:p>
        </w:tc>
        <w:tc>
          <w:tcPr>
            <w:tcW w:type="dxa" w:w="4060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/>
                <w:b w:val="0"/>
                <w:color w:val="101820"/>
                <w:sz w:val="18"/>
              </w:rPr>
              <w:br/>
            </w:r>
          </w:p>
        </w:tc>
      </w:tr>
    </w:tbl>
    <w:p>
      <w:pPr>
        <w:pStyle w:val="Heading1"/>
      </w:pPr>
      <w:r>
        <w:t>Mandatory gates</w:t>
      </w:r>
    </w:p>
    <w:p>
      <w:pPr>
        <w:pStyle w:val="ListBullet"/>
      </w:pPr>
      <w:r>
        <w:t>☐ Signed submission and required declarations</w:t>
      </w:r>
    </w:p>
    <w:p>
      <w:pPr>
        <w:pStyle w:val="ListBullet"/>
      </w:pPr>
      <w:r>
        <w:t>☐ Agreement to client ownership of core accounts and data</w:t>
      </w:r>
    </w:p>
    <w:p>
      <w:pPr>
        <w:pStyle w:val="ListBullet"/>
      </w:pPr>
      <w:r>
        <w:t>☐ Accessibility and security response completed</w:t>
      </w:r>
    </w:p>
    <w:p>
      <w:pPr>
        <w:pStyle w:val="ListBullet"/>
      </w:pPr>
      <w:r>
        <w:t>☐ Named team and references supplied</w:t>
      </w:r>
    </w:p>
    <w:p>
      <w:pPr>
        <w:pStyle w:val="ListBullet"/>
      </w:pPr>
      <w:r>
        <w:t>☐ Pricing schedule completed without material qualification</w:t>
      </w:r>
    </w:p>
    <w:p>
      <w:r>
        <w:br w:type="page"/>
      </w:r>
    </w:p>
    <w:p>
      <w:pPr>
        <w:pStyle w:val="Heading1"/>
      </w:pPr>
      <w:r>
        <w:t>8. Contract, ownership and transition checklist</w:t>
      </w:r>
    </w:p>
    <w:p>
      <w:pPr>
        <w:pStyle w:val="ListBullet"/>
      </w:pPr>
      <w:r>
        <w:t>☐ Client owns domains, DNS, hosting accounts, analytics, advertising accounts and source repositories.</w:t>
      </w:r>
    </w:p>
    <w:p>
      <w:pPr>
        <w:pStyle w:val="ListBullet"/>
      </w:pPr>
      <w:r>
        <w:t>☐ Work-product, source files, code, configuration, content and documentation rights are explicit.</w:t>
      </w:r>
    </w:p>
    <w:p>
      <w:pPr>
        <w:pStyle w:val="ListBullet"/>
      </w:pPr>
      <w:r>
        <w:t>☐ Open-source and third-party licences are disclosed.</w:t>
      </w:r>
    </w:p>
    <w:p>
      <w:pPr>
        <w:pStyle w:val="ListBullet"/>
      </w:pPr>
      <w:r>
        <w:t>☐ Privacy, confidentiality, security incident and subcontractor obligations are defined.</w:t>
      </w:r>
    </w:p>
    <w:p>
      <w:pPr>
        <w:pStyle w:val="ListBullet"/>
      </w:pPr>
      <w:r>
        <w:t>☐ Acceptance, warranty, defect severity and remediation timing are defined.</w:t>
      </w:r>
    </w:p>
    <w:p>
      <w:pPr>
        <w:pStyle w:val="ListBullet"/>
      </w:pPr>
      <w:r>
        <w:t>☐ Change control requires written impact to scope, timing and price.</w:t>
      </w:r>
    </w:p>
    <w:p>
      <w:pPr>
        <w:pStyle w:val="ListBullet"/>
      </w:pPr>
      <w:r>
        <w:t>☐ Termination assistance, data export, credential transfer and knowledge transfer are included.</w:t>
      </w:r>
    </w:p>
    <w:p>
      <w:pPr>
        <w:pStyle w:val="ListBullet"/>
      </w:pPr>
      <w:r>
        <w:t>☐ Service levels, escalation, backup, recovery and patch responsibilities are measurable.</w:t>
      </w:r>
    </w:p>
    <w:p>
      <w:pPr>
        <w:pStyle w:val="Heading1"/>
      </w:pPr>
      <w:r>
        <w:t>Final issue checklist</w:t>
      </w:r>
    </w:p>
    <w:p>
      <w:pPr>
        <w:pStyle w:val="ListBullet"/>
      </w:pPr>
      <w:r>
        <w:t>☐ Legal and procurement review complete</w:t>
      </w:r>
    </w:p>
    <w:p>
      <w:pPr>
        <w:pStyle w:val="ListBullet"/>
      </w:pPr>
      <w:r>
        <w:t>☐ All dates and contact details confirmed</w:t>
      </w:r>
    </w:p>
    <w:p>
      <w:pPr>
        <w:pStyle w:val="ListBullet"/>
      </w:pPr>
      <w:r>
        <w:t>☐ Requirements and weights approved</w:t>
      </w:r>
    </w:p>
    <w:p>
      <w:pPr>
        <w:pStyle w:val="ListBullet"/>
      </w:pPr>
      <w:r>
        <w:t>☐ Budget and taxes confirmed</w:t>
      </w:r>
    </w:p>
    <w:p>
      <w:pPr>
        <w:pStyle w:val="ListBullet"/>
      </w:pPr>
      <w:r>
        <w:t>☐ Attachments and contract included</w:t>
      </w:r>
    </w:p>
    <w:p>
      <w:pPr>
        <w:pStyle w:val="ListBullet"/>
      </w:pPr>
      <w:r>
        <w:t>☐ Accessible submission format available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Calibri" w:hAnsi="Calibri"/>
        <w:b w:val="0"/>
        <w:color w:val="62625D"/>
        <w:sz w:val="16"/>
      </w:rPr>
      <w:t xml:space="preserve">Editable Website RFP Template 2026  | 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rFonts w:ascii="Calibri" w:hAnsi="Calibri"/>
        <w:b/>
        <w:color w:val="62625D"/>
        <w:sz w:val="16"/>
      </w:rPr>
      <w:t>NIRVANA CANADA  |  WEBSITE PROCUREMENT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300" w:lineRule="auto"/>
    </w:pPr>
    <w:rPr>
      <w:rFonts w:ascii="Calibri" w:hAnsi="Calibri"/>
      <w:color w:val="10182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200"/>
      <w:outlineLvl w:val="0"/>
    </w:pPr>
    <w:rPr>
      <w:rFonts w:asciiTheme="majorHAnsi" w:eastAsiaTheme="majorEastAsia" w:hAnsiTheme="majorHAnsi" w:cstheme="majorBidi" w:ascii="Calibri" w:hAnsi="Calibri"/>
      <w:b/>
      <w:bCs/>
      <w:color w:val="10182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 w:ascii="Calibri" w:hAnsi="Calibri"/>
      <w:b/>
      <w:bCs/>
      <w:color w:val="10182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 w:ascii="Calibri" w:hAnsi="Calibri"/>
      <w:b/>
      <w:bCs/>
      <w:color w:val="62625D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160" w:line="240" w:lineRule="auto" w:before="0"/>
      <w:contextualSpacing/>
    </w:pPr>
    <w:rPr>
      <w:rFonts w:asciiTheme="majorHAnsi" w:eastAsiaTheme="majorEastAsia" w:hAnsiTheme="majorHAnsi" w:cstheme="majorBidi" w:ascii="Calibri" w:hAnsi="Calibri"/>
      <w:b/>
      <w:color w:val="101820"/>
      <w:spacing w:val="5"/>
      <w:kern w:val="28"/>
      <w:sz w:val="6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400"/>
    </w:pPr>
    <w:rPr>
      <w:rFonts w:asciiTheme="majorHAnsi" w:eastAsiaTheme="majorEastAsia" w:hAnsiTheme="majorHAnsi" w:cstheme="majorBidi" w:ascii="Calibri" w:hAnsi="Calibri"/>
      <w:b w:val="0"/>
      <w:i/>
      <w:iCs/>
      <w:color w:val="62625D"/>
      <w:spacing w:val="15"/>
      <w:sz w:val="28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80" w:line="300" w:lineRule="auto"/>
      <w:ind w:left="540" w:hanging="271"/>
      <w:contextualSpacing/>
    </w:pPr>
    <w:rPr>
      <w:rFonts w:ascii="Calibri" w:hAnsi="Calibri"/>
      <w:sz w:val="22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spacing w:after="80" w:line="300" w:lineRule="auto"/>
      <w:ind w:left="540" w:hanging="271"/>
      <w:contextualSpacing/>
    </w:pPr>
    <w:rPr>
      <w:rFonts w:ascii="Calibri" w:hAnsi="Calibri"/>
      <w:sz w:val="22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Editable Website RFP Template for Canadian Organizations 2026</dc:title>
  <dc:subject>Website procurement template</dc:subject>
  <dc:creator>Nirvana Canada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